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ROSAC0229ZPB</w:t>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Siriu</w:t>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rPr>
          <w:color w:val="000000"/>
          <w:sz w:val="24"/>
          <w:szCs w:val="24"/>
        </w:rPr>
      </w:pPr>
      <w:r w:rsidDel="00000000" w:rsidR="00000000" w:rsidRPr="00000000">
        <w:rPr>
          <w:sz w:val="22"/>
          <w:szCs w:val="22"/>
          <w:rtl w:val="0"/>
        </w:rPr>
        <w:t xml:space="preserve">336,07</w:t>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sz w:val="22"/>
          <w:szCs w:val="22"/>
          <w:rtl w:val="0"/>
        </w:rPr>
        <w:t xml:space="preserve">5,38%</w:t>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sz w:val="22"/>
                <w:szCs w:val="22"/>
              </w:rPr>
            </w:pPr>
            <w:r w:rsidDel="00000000" w:rsidR="00000000" w:rsidRPr="00000000">
              <w:rPr>
                <w:sz w:val="22"/>
                <w:szCs w:val="22"/>
                <w:rtl w:val="0"/>
              </w:rPr>
              <w:t xml:space="preserve">RO22</w:t>
            </w:r>
          </w:p>
        </w:tc>
        <w:tc>
          <w:tcPr/>
          <w:p w:rsidR="00000000" w:rsidDel="00000000" w:rsidP="00000000" w:rsidRDefault="00000000" w:rsidRPr="00000000" w14:paraId="0000004B">
            <w:pP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sz w:val="22"/>
                <w:szCs w:val="22"/>
              </w:rPr>
            </w:pPr>
            <w:r w:rsidDel="00000000" w:rsidR="00000000" w:rsidRPr="00000000">
              <w:rPr>
                <w:sz w:val="22"/>
                <w:szCs w:val="22"/>
                <w:rtl w:val="0"/>
              </w:rPr>
              <w:t xml:space="preserve">Sud-Est</w:t>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Buzău</w:t>
      </w: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0">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between w:space="0" w:sz="0" w:val="nil"/>
        </w:pBdr>
        <w:rPr>
          <w:color w:val="000000"/>
          <w:sz w:val="24"/>
          <w:szCs w:val="24"/>
        </w:rPr>
      </w:pPr>
      <w:r w:rsidDel="00000000" w:rsidR="00000000" w:rsidRPr="00000000">
        <w:rPr>
          <w:sz w:val="22"/>
          <w:szCs w:val="22"/>
          <w:rtl w:val="0"/>
        </w:rPr>
        <w:t xml:space="preserve">2</w:t>
      </w:r>
      <w:r w:rsidDel="00000000" w:rsidR="00000000" w:rsidRPr="00000000">
        <w:rPr>
          <w:rtl w:val="0"/>
        </w:rPr>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rPr>
          <w:color w:val="000000"/>
          <w:sz w:val="24"/>
          <w:szCs w:val="24"/>
        </w:rPr>
      </w:pPr>
      <w:r w:rsidDel="00000000" w:rsidR="00000000" w:rsidRPr="00000000">
        <w:rPr>
          <w:sz w:val="22"/>
          <w:szCs w:val="22"/>
          <w:rtl w:val="0"/>
        </w:rPr>
        <w:t xml:space="preserve">334,00</w:t>
      </w:r>
      <w:r w:rsidDel="00000000" w:rsidR="00000000" w:rsidRPr="00000000">
        <w:rPr>
          <w:rtl w:val="0"/>
        </w:rPr>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before="240" w:line="240" w:lineRule="auto"/>
        <w:jc w:val="both"/>
        <w:rPr>
          <w:color w:val="000000"/>
          <w:sz w:val="22"/>
          <w:szCs w:val="22"/>
        </w:rPr>
      </w:pPr>
      <w:r w:rsidDel="00000000" w:rsidR="00000000" w:rsidRPr="00000000">
        <w:rPr>
          <w:color w:val="000000"/>
          <w:sz w:val="22"/>
          <w:szCs w:val="22"/>
          <w:rtl w:val="0"/>
        </w:rPr>
        <w:t xml:space="preserve">- Ordinul ministrului mediului, apelor și pădurilor nr. 2525/2016 privind constituirea Catalogului național al pădurilor virgine și cvasivirgine din România, cu modificările și completările ulterioare</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 Ordinul ministrului mediului, apelor și pădurilor nr. 209/2016 privind aprobarea Planului de management și a Regulamentului sitului Natura 2000 ROSCI0229 Siriu.</w:t>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9">
      <w:pPr>
        <w:rPr>
          <w:sz w:val="22"/>
          <w:szCs w:val="22"/>
        </w:rPr>
      </w:pPr>
      <w:r w:rsidDel="00000000" w:rsidR="00000000" w:rsidRPr="00000000">
        <w:rPr>
          <w:rtl w:val="0"/>
        </w:rPr>
      </w:r>
    </w:p>
    <w:p w:rsidR="00000000" w:rsidDel="00000000" w:rsidP="00000000" w:rsidRDefault="00000000" w:rsidRPr="00000000" w14:paraId="0000006A">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24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6F">
            <w:pPr>
              <w:spacing w:after="0" w:line="240" w:lineRule="auto"/>
              <w:jc w:val="both"/>
              <w:rPr>
                <w:i w:val="1"/>
                <w:iCs w:val="1"/>
                <w:sz w:val="22"/>
                <w:szCs w:val="22"/>
              </w:rPr>
            </w:pPr>
            <w:r w:rsidDel="00000000" w:rsidR="00000000" w:rsidRPr="00000000">
              <w:rPr>
                <w:i w:val="1"/>
                <w:iCs w:val="1"/>
                <w:sz w:val="22"/>
                <w:szCs w:val="22"/>
                <w:rtl w:val="0"/>
              </w:rPr>
              <w:t xml:space="preserve">9110 Păduri de fag de tip Luzulo-Fagetum</w:t>
            </w:r>
          </w:p>
          <w:p w:rsidR="00000000" w:rsidDel="00000000" w:rsidP="00000000" w:rsidRDefault="00000000" w:rsidRPr="00000000" w14:paraId="00000070">
            <w:pPr>
              <w:spacing w:after="0" w:line="240" w:lineRule="auto"/>
              <w:jc w:val="both"/>
              <w:rPr>
                <w:b w:val="1"/>
                <w:bCs w:val="1"/>
                <w:sz w:val="22"/>
                <w:szCs w:val="22"/>
              </w:rPr>
            </w:pPr>
            <w:r w:rsidDel="00000000" w:rsidR="00000000" w:rsidRPr="00000000">
              <w:rPr>
                <w:i w:val="1"/>
                <w:iCs w:val="1"/>
                <w:sz w:val="22"/>
                <w:szCs w:val="22"/>
                <w:rtl w:val="0"/>
              </w:rPr>
              <w:t xml:space="preserve">91V0 Păduri dacice de fag (Symphyto-Fagion)</w:t>
            </w:r>
            <w:r w:rsidDel="00000000" w:rsidR="00000000" w:rsidRPr="00000000">
              <w:rPr>
                <w:i w:val="1"/>
                <w:iCs w:val="1"/>
                <w:rtl w:val="0"/>
              </w:rPr>
              <w:br w:type="textWrapping"/>
            </w:r>
            <w:r w:rsidDel="00000000" w:rsidR="00000000" w:rsidRPr="00000000">
              <w:rPr>
                <w:b w:val="1"/>
                <w:bCs w:val="1"/>
                <w:sz w:val="22"/>
                <w:szCs w:val="22"/>
                <w:rtl w:val="0"/>
              </w:rPr>
              <w:t xml:space="preserve">Habitate de păduri montane de conifere:</w:t>
            </w:r>
          </w:p>
          <w:p w:rsidR="00000000" w:rsidDel="00000000" w:rsidP="00000000" w:rsidRDefault="00000000" w:rsidRPr="00000000" w14:paraId="00000071">
            <w:pPr>
              <w:spacing w:after="0" w:line="240" w:lineRule="auto"/>
              <w:jc w:val="both"/>
              <w:rPr>
                <w:b w:val="1"/>
                <w:bCs w:val="1"/>
                <w:sz w:val="22"/>
                <w:szCs w:val="22"/>
              </w:rPr>
            </w:pPr>
            <w:r w:rsidDel="00000000" w:rsidR="00000000" w:rsidRPr="00000000">
              <w:rPr>
                <w:i w:val="1"/>
                <w:iCs w:val="1"/>
                <w:sz w:val="22"/>
                <w:szCs w:val="22"/>
                <w:rtl w:val="0"/>
              </w:rPr>
              <w:t xml:space="preserve">9410 Păduri acidofile de molid (Picea) din etajul montan până în cel alpin (Vaccinio-Piceetea)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24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4">
            <w:pPr>
              <w:spacing w:after="0" w:line="24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75">
            <w:pPr>
              <w:spacing w:after="0" w:line="240" w:lineRule="auto"/>
              <w:rPr>
                <w:i w:val="1"/>
                <w:iCs w:val="1"/>
                <w:sz w:val="22"/>
                <w:szCs w:val="22"/>
              </w:rPr>
            </w:pPr>
            <w:r w:rsidDel="00000000" w:rsidR="00000000" w:rsidRPr="00000000">
              <w:rPr>
                <w:i w:val="1"/>
                <w:iCs w:val="1"/>
                <w:sz w:val="22"/>
                <w:szCs w:val="22"/>
                <w:rtl w:val="0"/>
              </w:rPr>
              <w:t xml:space="preserve">2351 Salamandra salamandra </w:t>
            </w:r>
          </w:p>
          <w:p w:rsidR="00000000" w:rsidDel="00000000" w:rsidP="00000000" w:rsidRDefault="00000000" w:rsidRPr="00000000" w14:paraId="00000076">
            <w:pP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7">
            <w:pPr>
              <w:spacing w:after="0" w:line="24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78">
            <w:pPr>
              <w:spacing w:after="0" w:line="24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79">
            <w:pPr>
              <w:spacing w:after="0" w:line="24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7A">
            <w:pPr>
              <w:spacing w:after="0" w:line="240" w:lineRule="auto"/>
              <w:rPr>
                <w:i w:val="1"/>
                <w:iCs w:val="1"/>
                <w:sz w:val="22"/>
                <w:szCs w:val="22"/>
              </w:rPr>
            </w:pPr>
            <w:r w:rsidDel="00000000" w:rsidR="00000000" w:rsidRPr="00000000">
              <w:rPr>
                <w:i w:val="1"/>
                <w:iCs w:val="1"/>
                <w:sz w:val="22"/>
                <w:szCs w:val="22"/>
                <w:rtl w:val="0"/>
              </w:rPr>
              <w:t xml:space="preserve">1314 Myotis daubentonii</w:t>
            </w:r>
          </w:p>
          <w:p w:rsidR="00000000" w:rsidDel="00000000" w:rsidP="00000000" w:rsidRDefault="00000000" w:rsidRPr="00000000" w14:paraId="0000007B">
            <w:pPr>
              <w:spacing w:after="0" w:line="240" w:lineRule="auto"/>
              <w:rPr>
                <w:i w:val="1"/>
                <w:iCs w:val="1"/>
                <w:sz w:val="22"/>
                <w:szCs w:val="22"/>
              </w:rPr>
            </w:pPr>
            <w:r w:rsidDel="00000000" w:rsidR="00000000" w:rsidRPr="00000000">
              <w:rPr>
                <w:i w:val="1"/>
                <w:iCs w:val="1"/>
                <w:sz w:val="22"/>
                <w:szCs w:val="22"/>
                <w:rtl w:val="0"/>
              </w:rPr>
              <w:t xml:space="preserve">1320 Myotis brandtii</w:t>
            </w:r>
          </w:p>
          <w:p w:rsidR="00000000" w:rsidDel="00000000" w:rsidP="00000000" w:rsidRDefault="00000000" w:rsidRPr="00000000" w14:paraId="0000007C">
            <w:pPr>
              <w:spacing w:after="0" w:line="24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07D">
            <w:pPr>
              <w:spacing w:after="0" w:line="240" w:lineRule="auto"/>
              <w:rPr>
                <w:i w:val="1"/>
                <w:iCs w:val="1"/>
                <w:sz w:val="22"/>
                <w:szCs w:val="22"/>
              </w:rPr>
            </w:pPr>
            <w:r w:rsidDel="00000000" w:rsidR="00000000" w:rsidRPr="00000000">
              <w:rPr>
                <w:i w:val="1"/>
                <w:iCs w:val="1"/>
                <w:sz w:val="22"/>
                <w:szCs w:val="22"/>
                <w:rtl w:val="0"/>
              </w:rPr>
              <w:t xml:space="preserve">1330 Myotis mystacinus</w:t>
            </w:r>
          </w:p>
          <w:p w:rsidR="00000000" w:rsidDel="00000000" w:rsidP="00000000" w:rsidRDefault="00000000" w:rsidRPr="00000000" w14:paraId="0000007E">
            <w:pPr>
              <w:spacing w:after="0" w:line="240" w:lineRule="auto"/>
              <w:rPr>
                <w:i w:val="1"/>
                <w:iCs w:val="1"/>
                <w:sz w:val="22"/>
                <w:szCs w:val="22"/>
              </w:rPr>
            </w:pPr>
            <w:r w:rsidDel="00000000" w:rsidR="00000000" w:rsidRPr="00000000">
              <w:rPr>
                <w:i w:val="1"/>
                <w:iCs w:val="1"/>
                <w:sz w:val="22"/>
                <w:szCs w:val="22"/>
                <w:rtl w:val="0"/>
              </w:rPr>
              <w:t xml:space="preserve">1332 Vespertilio murinus</w:t>
            </w:r>
          </w:p>
          <w:p w:rsidR="00000000" w:rsidDel="00000000" w:rsidP="00000000" w:rsidRDefault="00000000" w:rsidRPr="00000000" w14:paraId="0000007F">
            <w:pPr>
              <w:spacing w:after="0" w:line="24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80">
            <w:pPr>
              <w:spacing w:after="0" w:line="240" w:lineRule="auto"/>
              <w:rPr>
                <w:i w:val="1"/>
                <w:iCs w:val="1"/>
                <w:sz w:val="22"/>
                <w:szCs w:val="22"/>
              </w:rPr>
            </w:pPr>
            <w:r w:rsidDel="00000000" w:rsidR="00000000" w:rsidRPr="00000000">
              <w:rPr>
                <w:i w:val="1"/>
                <w:iCs w:val="1"/>
                <w:sz w:val="22"/>
                <w:szCs w:val="22"/>
                <w:rtl w:val="0"/>
              </w:rPr>
              <w:t xml:space="preserve">1361 Lynx lynx</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rPr/>
            </w:pPr>
            <w:r w:rsidDel="00000000" w:rsidR="00000000" w:rsidRPr="00000000">
              <w:rPr>
                <w:sz w:val="22"/>
                <w:szCs w:val="22"/>
                <w:rtl w:val="0"/>
              </w:rPr>
              <w:t xml:space="preserve">Zonă de non-intervenție cu păduri cu structura complexă de tip climax, unde amestecul de făgete dacice și molidișuri acidofile oferă habitatul perfect pentru specii strict dependente de păduri bătrâne, precum cocoșul de munte și bufnițele montane. Această zonă funcționează ca un nucleu de stabilitate pentru marii prădători (urs, râs etc.), aceste ecosisteme reprezintă rezervoare critice de biodiversitate care mențin echilibrul ecologic natural și permit supraviețuirea unor specii extrem de sensibile la fragmentarea habitatelor.</w:t>
            </w:r>
            <w:r w:rsidDel="00000000" w:rsidR="00000000" w:rsidRPr="00000000">
              <w:rPr>
                <w:rtl w:val="0"/>
              </w:rPr>
            </w:r>
          </w:p>
          <w:p w:rsidR="00000000" w:rsidDel="00000000" w:rsidP="00000000" w:rsidRDefault="00000000" w:rsidRPr="00000000" w14:paraId="00000083">
            <w:pPr>
              <w:spacing w:after="0" w:line="240" w:lineRule="auto"/>
              <w:jc w:val="both"/>
              <w:rPr>
                <w:sz w:val="22"/>
                <w:szCs w:val="22"/>
              </w:rPr>
            </w:pPr>
            <w:r w:rsidDel="00000000" w:rsidR="00000000" w:rsidRPr="00000000">
              <w:rPr>
                <w:sz w:val="22"/>
                <w:szCs w:val="22"/>
                <w:rtl w:val="0"/>
              </w:rPr>
              <w:t xml:space="preserve">Pădurile cu naturalitate ridicată desemnate ca ZPB găzduiesc o diversitate biologică deosebită, prin prezența arborilor bătrâni, a lemnului mort și a microhabitatelor forestiere (scorburi, crăpături, ciuperci, briofite), elemente esențiale pentru speciile de interes conservativ asociate ecosistemelor forestiere mature.</w:t>
            </w:r>
          </w:p>
          <w:p w:rsidR="00000000" w:rsidDel="00000000" w:rsidP="00000000" w:rsidRDefault="00000000" w:rsidRPr="00000000" w14:paraId="00000084">
            <w:pPr>
              <w:spacing w:after="0" w:line="240" w:lineRule="auto"/>
              <w:jc w:val="both"/>
              <w:rPr>
                <w:sz w:val="22"/>
                <w:szCs w:val="22"/>
              </w:rPr>
            </w:pPr>
            <w:r w:rsidDel="00000000" w:rsidR="00000000" w:rsidRPr="00000000">
              <w:rPr>
                <w:sz w:val="22"/>
                <w:szCs w:val="22"/>
                <w:rtl w:val="0"/>
              </w:rPr>
              <w:t xml:space="preserve">Pădurile cu naturalitate ridicată constituie rezervoare importante de carbon și contribuie la reglarea climatului local.</w:t>
            </w:r>
          </w:p>
          <w:p w:rsidR="00000000" w:rsidDel="00000000" w:rsidP="00000000" w:rsidRDefault="00000000" w:rsidRPr="00000000" w14:paraId="00000085">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habitate de păduri,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240" w:lineRule="auto"/>
              <w:jc w:val="both"/>
              <w:rPr>
                <w:sz w:val="22"/>
                <w:szCs w:val="22"/>
              </w:rPr>
            </w:pPr>
            <w:r w:rsidDel="00000000" w:rsidR="00000000" w:rsidRPr="00000000">
              <w:rPr>
                <w:b w:val="1"/>
                <w:bCs w:val="1"/>
                <w:sz w:val="22"/>
                <w:szCs w:val="22"/>
                <w:rtl w:val="0"/>
              </w:rPr>
              <w:t xml:space="preserve">Obiective și măsuri în regim de non-intervenție pentru habitatele forestiere PVCV</w:t>
            </w:r>
            <w:r w:rsidDel="00000000" w:rsidR="00000000" w:rsidRPr="00000000">
              <w:rPr>
                <w:rtl w:val="0"/>
              </w:rPr>
            </w:r>
          </w:p>
          <w:p w:rsidR="00000000" w:rsidDel="00000000" w:rsidP="00000000" w:rsidRDefault="00000000" w:rsidRPr="00000000" w14:paraId="0000008A">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B">
            <w:pPr>
              <w:spacing w:after="0" w:line="240" w:lineRule="auto"/>
              <w:jc w:val="both"/>
              <w:rPr>
                <w:sz w:val="22"/>
                <w:szCs w:val="22"/>
              </w:rPr>
            </w:pPr>
            <w:r w:rsidDel="00000000" w:rsidR="00000000" w:rsidRPr="00000000">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p>
          <w:p w:rsidR="00000000" w:rsidDel="00000000" w:rsidP="00000000" w:rsidRDefault="00000000" w:rsidRPr="00000000" w14:paraId="0000008C">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D">
            <w:pPr>
              <w:spacing w:after="0" w:line="240" w:lineRule="auto"/>
              <w:jc w:val="both"/>
              <w:rPr>
                <w:sz w:val="22"/>
                <w:szCs w:val="22"/>
              </w:rPr>
            </w:pPr>
            <w:r w:rsidDel="00000000" w:rsidR="00000000" w:rsidRPr="00000000">
              <w:rPr>
                <w:sz w:val="22"/>
                <w:szCs w:val="22"/>
                <w:rtl w:val="0"/>
              </w:rPr>
              <w:t xml:space="preserve">1. Menținerea dinamicii naturale a pădurii (regenerare spontană, succesiune, mortalitate naturală, perturbări naturale).</w:t>
            </w:r>
          </w:p>
          <w:p w:rsidR="00000000" w:rsidDel="00000000" w:rsidP="00000000" w:rsidRDefault="00000000" w:rsidRPr="00000000" w14:paraId="0000008E">
            <w:pPr>
              <w:spacing w:after="0"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F">
            <w:pPr>
              <w:spacing w:after="0"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0">
            <w:pPr>
              <w:spacing w:after="0"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1">
            <w:pPr>
              <w:spacing w:after="0"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2">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3">
            <w:pPr>
              <w:spacing w:after="0"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4">
            <w:pPr>
              <w:spacing w:after="0"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5">
            <w:pPr>
              <w:spacing w:after="0"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6">
            <w:pPr>
              <w:spacing w:after="0"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7">
            <w:pPr>
              <w:spacing w:after="0"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rPr>
                <w:sz w:val="22"/>
                <w:szCs w:val="22"/>
              </w:rPr>
            </w:pPr>
            <w:r w:rsidDel="00000000" w:rsidR="00000000" w:rsidRPr="00000000">
              <w:rPr>
                <w:sz w:val="22"/>
                <w:szCs w:val="22"/>
                <w:rtl w:val="0"/>
              </w:rPr>
              <w:t xml:space="preserve">Publică de stat și privată</w:t>
            </w:r>
          </w:p>
        </w:tc>
      </w:tr>
    </w:tbl>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9C">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9D">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ZPB2</w:t>
      </w:r>
    </w:p>
    <w:p w:rsidR="00000000" w:rsidDel="00000000" w:rsidP="00000000" w:rsidRDefault="00000000" w:rsidRPr="00000000" w14:paraId="0000009E">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9F">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A0">
      <w:pPr>
        <w:pBdr>
          <w:top w:color="000000" w:space="0" w:sz="6" w:val="single"/>
          <w:left w:color="000000" w:space="0" w:sz="6" w:val="single"/>
          <w:bottom w:color="000000" w:space="0" w:sz="6" w:val="single"/>
          <w:right w:color="000000" w:space="0" w:sz="6" w:val="single"/>
          <w:between w:space="0" w:sz="0" w:val="nil"/>
        </w:pBdr>
        <w:rPr>
          <w:color w:val="000000"/>
          <w:sz w:val="24"/>
          <w:szCs w:val="24"/>
        </w:rPr>
      </w:pPr>
      <w:r w:rsidDel="00000000" w:rsidR="00000000" w:rsidRPr="00000000">
        <w:rPr>
          <w:sz w:val="22"/>
          <w:szCs w:val="22"/>
          <w:rtl w:val="0"/>
        </w:rPr>
        <w:t xml:space="preserve">2,07</w:t>
      </w:r>
      <w:r w:rsidDel="00000000" w:rsidR="00000000" w:rsidRPr="00000000">
        <w:rPr>
          <w:rtl w:val="0"/>
        </w:rPr>
      </w:r>
    </w:p>
    <w:p w:rsidR="00000000" w:rsidDel="00000000" w:rsidP="00000000" w:rsidRDefault="00000000" w:rsidRPr="00000000" w14:paraId="000000A1">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A2">
      <w:pPr>
        <w:pBdr>
          <w:top w:color="000000" w:space="0" w:sz="6" w:val="single"/>
          <w:left w:color="000000" w:space="0" w:sz="6" w:val="single"/>
          <w:bottom w:color="000000" w:space="0" w:sz="6" w:val="single"/>
          <w:right w:color="000000" w:space="0" w:sz="6" w:val="single"/>
          <w:between w:space="0" w:sz="0" w:val="nil"/>
        </w:pBdr>
        <w:spacing w:after="0" w:before="240" w:line="240" w:lineRule="auto"/>
        <w:jc w:val="both"/>
        <w:rPr>
          <w:color w:val="000000"/>
          <w:sz w:val="22"/>
          <w:szCs w:val="22"/>
        </w:rPr>
      </w:pPr>
      <w:r w:rsidDel="00000000" w:rsidR="00000000" w:rsidRPr="00000000">
        <w:rPr>
          <w:color w:val="000000"/>
          <w:sz w:val="22"/>
          <w:szCs w:val="22"/>
          <w:rtl w:val="0"/>
        </w:rPr>
        <w:t xml:space="preserve">- Ordinul ministrului mediului, apelor și pădurilor nr. 2525/2016 privind constituirea Catalogului național al pădurilor virgine și cvasivirgine din România, cu modificările și completările ulterioare</w:t>
      </w:r>
    </w:p>
    <w:p w:rsidR="00000000" w:rsidDel="00000000" w:rsidP="00000000" w:rsidRDefault="00000000" w:rsidRPr="00000000" w14:paraId="000000A3">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 Ordinul ministrului mediului, apelor și pădurilor nr. 209/2016 privind aprobarea Planului de management și a Regulamentului sitului Natura 2000 ROSCI0229 Siriu.</w:t>
      </w:r>
    </w:p>
    <w:p w:rsidR="00000000" w:rsidDel="00000000" w:rsidP="00000000" w:rsidRDefault="00000000" w:rsidRPr="00000000" w14:paraId="000000A4">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A5">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8964.0" w:type="dxa"/>
        <w:jc w:val="left"/>
        <w:tblInd w:w="10.0"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spacing w:after="0" w:line="24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AA">
            <w:pPr>
              <w:spacing w:after="0" w:line="240" w:lineRule="auto"/>
              <w:jc w:val="both"/>
              <w:rPr>
                <w:i w:val="1"/>
                <w:iCs w:val="1"/>
                <w:sz w:val="22"/>
                <w:szCs w:val="22"/>
              </w:rPr>
            </w:pPr>
            <w:r w:rsidDel="00000000" w:rsidR="00000000" w:rsidRPr="00000000">
              <w:rPr>
                <w:i w:val="1"/>
                <w:iCs w:val="1"/>
                <w:sz w:val="22"/>
                <w:szCs w:val="22"/>
                <w:rtl w:val="0"/>
              </w:rPr>
              <w:t xml:space="preserve">9110 Păduri de fag de tip Luzulo-Fagetum</w:t>
            </w:r>
          </w:p>
          <w:p w:rsidR="00000000" w:rsidDel="00000000" w:rsidP="00000000" w:rsidRDefault="00000000" w:rsidRPr="00000000" w14:paraId="000000AB">
            <w:pPr>
              <w:spacing w:after="0" w:line="240" w:lineRule="auto"/>
              <w:rPr>
                <w:b w:val="1"/>
                <w:bCs w:val="1"/>
                <w:sz w:val="22"/>
                <w:szCs w:val="22"/>
              </w:rPr>
            </w:pPr>
            <w:r w:rsidDel="00000000" w:rsidR="00000000" w:rsidRPr="00000000">
              <w:rPr>
                <w:i w:val="1"/>
                <w:iCs w:val="1"/>
                <w:sz w:val="22"/>
                <w:szCs w:val="22"/>
                <w:rtl w:val="0"/>
              </w:rPr>
              <w:t xml:space="preserve">91V0 Păduri dacice de fag (Symphyto-Fagion)</w:t>
            </w:r>
            <w:r w:rsidDel="00000000" w:rsidR="00000000" w:rsidRPr="00000000">
              <w:rPr>
                <w:i w:val="1"/>
                <w:iCs w:val="1"/>
                <w:rtl w:val="0"/>
              </w:rPr>
              <w:br w:type="textWrapping"/>
            </w:r>
            <w:r w:rsidDel="00000000" w:rsidR="00000000" w:rsidRPr="00000000">
              <w:rPr>
                <w:b w:val="1"/>
                <w:bCs w:val="1"/>
                <w:sz w:val="22"/>
                <w:szCs w:val="22"/>
                <w:rtl w:val="0"/>
              </w:rPr>
              <w:t xml:space="preserve">Habitate de păduri montane de conifere:</w:t>
            </w:r>
          </w:p>
          <w:p w:rsidR="00000000" w:rsidDel="00000000" w:rsidP="00000000" w:rsidRDefault="00000000" w:rsidRPr="00000000" w14:paraId="000000AC">
            <w:pPr>
              <w:spacing w:after="0" w:line="240" w:lineRule="auto"/>
              <w:rPr>
                <w:b w:val="1"/>
                <w:bCs w:val="1"/>
                <w:sz w:val="22"/>
                <w:szCs w:val="22"/>
              </w:rPr>
            </w:pPr>
            <w:r w:rsidDel="00000000" w:rsidR="00000000" w:rsidRPr="00000000">
              <w:rPr>
                <w:i w:val="1"/>
                <w:iCs w:val="1"/>
                <w:sz w:val="22"/>
                <w:szCs w:val="22"/>
                <w:rtl w:val="0"/>
              </w:rPr>
              <w:t xml:space="preserve">9410 Păduri acidofile de molid (Picea) din etajul montan până în cel alpin (Vaccinio-Piceetea)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line="24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AF">
            <w:pPr>
              <w:spacing w:after="0" w:line="24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B0">
            <w:pPr>
              <w:spacing w:after="0" w:line="240" w:lineRule="auto"/>
              <w:rPr>
                <w:i w:val="1"/>
                <w:iCs w:val="1"/>
                <w:sz w:val="22"/>
                <w:szCs w:val="22"/>
              </w:rPr>
            </w:pPr>
            <w:r w:rsidDel="00000000" w:rsidR="00000000" w:rsidRPr="00000000">
              <w:rPr>
                <w:i w:val="1"/>
                <w:iCs w:val="1"/>
                <w:sz w:val="22"/>
                <w:szCs w:val="22"/>
                <w:rtl w:val="0"/>
              </w:rPr>
              <w:t xml:space="preserve">2351 Salamandra salamandra </w:t>
            </w:r>
          </w:p>
          <w:p w:rsidR="00000000" w:rsidDel="00000000" w:rsidP="00000000" w:rsidRDefault="00000000" w:rsidRPr="00000000" w14:paraId="000000B1">
            <w:pP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B2">
            <w:pPr>
              <w:spacing w:after="0" w:line="24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B3">
            <w:pPr>
              <w:spacing w:after="0" w:line="24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B4">
            <w:pPr>
              <w:spacing w:after="0" w:line="24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B5">
            <w:pPr>
              <w:spacing w:after="0" w:line="240" w:lineRule="auto"/>
              <w:rPr>
                <w:i w:val="1"/>
                <w:iCs w:val="1"/>
                <w:sz w:val="22"/>
                <w:szCs w:val="22"/>
              </w:rPr>
            </w:pPr>
            <w:r w:rsidDel="00000000" w:rsidR="00000000" w:rsidRPr="00000000">
              <w:rPr>
                <w:i w:val="1"/>
                <w:iCs w:val="1"/>
                <w:sz w:val="22"/>
                <w:szCs w:val="22"/>
                <w:rtl w:val="0"/>
              </w:rPr>
              <w:t xml:space="preserve">1314 Myotis daubentonii</w:t>
            </w:r>
          </w:p>
          <w:p w:rsidR="00000000" w:rsidDel="00000000" w:rsidP="00000000" w:rsidRDefault="00000000" w:rsidRPr="00000000" w14:paraId="000000B6">
            <w:pPr>
              <w:spacing w:after="0" w:line="240" w:lineRule="auto"/>
              <w:rPr>
                <w:i w:val="1"/>
                <w:iCs w:val="1"/>
                <w:sz w:val="22"/>
                <w:szCs w:val="22"/>
              </w:rPr>
            </w:pPr>
            <w:r w:rsidDel="00000000" w:rsidR="00000000" w:rsidRPr="00000000">
              <w:rPr>
                <w:i w:val="1"/>
                <w:iCs w:val="1"/>
                <w:sz w:val="22"/>
                <w:szCs w:val="22"/>
                <w:rtl w:val="0"/>
              </w:rPr>
              <w:t xml:space="preserve">1320 Myotis brandtii</w:t>
            </w:r>
          </w:p>
          <w:p w:rsidR="00000000" w:rsidDel="00000000" w:rsidP="00000000" w:rsidRDefault="00000000" w:rsidRPr="00000000" w14:paraId="000000B7">
            <w:pPr>
              <w:spacing w:after="0" w:line="24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0B8">
            <w:pPr>
              <w:spacing w:after="0" w:line="240" w:lineRule="auto"/>
              <w:rPr>
                <w:i w:val="1"/>
                <w:iCs w:val="1"/>
                <w:sz w:val="22"/>
                <w:szCs w:val="22"/>
              </w:rPr>
            </w:pPr>
            <w:r w:rsidDel="00000000" w:rsidR="00000000" w:rsidRPr="00000000">
              <w:rPr>
                <w:i w:val="1"/>
                <w:iCs w:val="1"/>
                <w:sz w:val="22"/>
                <w:szCs w:val="22"/>
                <w:rtl w:val="0"/>
              </w:rPr>
              <w:t xml:space="preserve">1330 Myotis mystacinus</w:t>
            </w:r>
          </w:p>
          <w:p w:rsidR="00000000" w:rsidDel="00000000" w:rsidP="00000000" w:rsidRDefault="00000000" w:rsidRPr="00000000" w14:paraId="000000B9">
            <w:pPr>
              <w:spacing w:after="0" w:line="240" w:lineRule="auto"/>
              <w:rPr>
                <w:i w:val="1"/>
                <w:iCs w:val="1"/>
                <w:sz w:val="22"/>
                <w:szCs w:val="22"/>
              </w:rPr>
            </w:pPr>
            <w:r w:rsidDel="00000000" w:rsidR="00000000" w:rsidRPr="00000000">
              <w:rPr>
                <w:i w:val="1"/>
                <w:iCs w:val="1"/>
                <w:sz w:val="22"/>
                <w:szCs w:val="22"/>
                <w:rtl w:val="0"/>
              </w:rPr>
              <w:t xml:space="preserve">1332 Vespertilio murinus</w:t>
            </w:r>
          </w:p>
          <w:p w:rsidR="00000000" w:rsidDel="00000000" w:rsidP="00000000" w:rsidRDefault="00000000" w:rsidRPr="00000000" w14:paraId="000000BA">
            <w:pPr>
              <w:spacing w:after="0" w:line="24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BB">
            <w:pPr>
              <w:spacing w:after="0" w:line="240" w:lineRule="auto"/>
              <w:rPr>
                <w:i w:val="1"/>
                <w:iCs w:val="1"/>
                <w:sz w:val="22"/>
                <w:szCs w:val="22"/>
              </w:rPr>
            </w:pPr>
            <w:r w:rsidDel="00000000" w:rsidR="00000000" w:rsidRPr="00000000">
              <w:rPr>
                <w:i w:val="1"/>
                <w:iCs w:val="1"/>
                <w:sz w:val="22"/>
                <w:szCs w:val="22"/>
                <w:rtl w:val="0"/>
              </w:rPr>
              <w:t xml:space="preserve">1361 Lynx lynx</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spacing w:after="0" w:line="240" w:lineRule="auto"/>
              <w:jc w:val="both"/>
              <w:rPr>
                <w:sz w:val="22"/>
                <w:szCs w:val="22"/>
              </w:rPr>
            </w:pPr>
            <w:r w:rsidDel="00000000" w:rsidR="00000000" w:rsidRPr="00000000">
              <w:rPr>
                <w:sz w:val="22"/>
                <w:szCs w:val="22"/>
                <w:rtl w:val="0"/>
              </w:rPr>
              <w:t xml:space="preserve">Pădurile cu naturalitate ridicată desemnate ca ZPB găzduiesc o diversitate biologică deosebită, prin prezența arborilor bătrâni, a lemnului mort și a microhabitatelor forestiere (scorburi, crăpături, ciuperci, briofite), elemente esențiale pentru speciile de interes conservativ asociate ecosistemelor forestiere mature.</w:t>
            </w:r>
          </w:p>
          <w:p w:rsidR="00000000" w:rsidDel="00000000" w:rsidP="00000000" w:rsidRDefault="00000000" w:rsidRPr="00000000" w14:paraId="000000BE">
            <w:pPr>
              <w:spacing w:after="0" w:line="240" w:lineRule="auto"/>
              <w:jc w:val="both"/>
              <w:rPr>
                <w:sz w:val="22"/>
                <w:szCs w:val="22"/>
              </w:rPr>
            </w:pPr>
            <w:r w:rsidDel="00000000" w:rsidR="00000000" w:rsidRPr="00000000">
              <w:rPr>
                <w:sz w:val="22"/>
                <w:szCs w:val="22"/>
                <w:rtl w:val="0"/>
              </w:rPr>
              <w:t xml:space="preserve">Pădurile cu naturalitate ridicată constituie rezervoare importante de carbon și contribuie la reglarea climatului local.</w:t>
            </w:r>
          </w:p>
          <w:p w:rsidR="00000000" w:rsidDel="00000000" w:rsidP="00000000" w:rsidRDefault="00000000" w:rsidRPr="00000000" w14:paraId="000000BF">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habitate de păduri,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în regim de management activ pentru habitatele forestiere altele decât T1</w:t>
            </w:r>
          </w:p>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 general de conservare</w:t>
            </w:r>
          </w:p>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Obiective specifice:</w:t>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Conservarea și ameliorarea biodiversității arboretelor (structură, compoziție, microhabitate).</w:t>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Menținerea regenerării naturale și a continuității habitatelor forestiere.</w:t>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Reducerea fragmentării habitatelor și limitarea presiunilor antropice.</w:t>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stării de conservare și aplicarea managementului adaptativ.</w:t>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F">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0">
            <w:pPr>
              <w:rPr>
                <w:sz w:val="22"/>
                <w:szCs w:val="22"/>
              </w:rPr>
            </w:pPr>
            <w:r w:rsidDel="00000000" w:rsidR="00000000" w:rsidRPr="00000000">
              <w:rPr>
                <w:sz w:val="22"/>
                <w:szCs w:val="22"/>
                <w:rtl w:val="0"/>
              </w:rPr>
              <w:t xml:space="preserve">Publică de stat și privată</w:t>
            </w:r>
          </w:p>
        </w:tc>
      </w:tr>
    </w:tbl>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E3">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Doniţă N., Ivan D., Coldea G., Sanda V., Popescu A., Chifu T., Pauca- Comansescu M., Mititelu D., Boscaiu N., 1992. Vegetatia României. Ed. Tehnicã Agricolã, Bucuresti.</w:t>
      </w:r>
    </w:p>
    <w:p w:rsidR="00000000" w:rsidDel="00000000" w:rsidP="00000000" w:rsidRDefault="00000000" w:rsidRPr="00000000" w14:paraId="000000E4">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Doniţă N., Popescu A., Paucă-Comănescu M., Mihăilescu S., Biriş I.A., 2005. Habitatele din România. Editura Tehnică Silvică, Bucureşti.</w:t>
      </w:r>
    </w:p>
    <w:p w:rsidR="00000000" w:rsidDel="00000000" w:rsidP="00000000" w:rsidRDefault="00000000" w:rsidRPr="00000000" w14:paraId="000000E5">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rtl w:val="0"/>
        </w:rPr>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E8">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E9">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ff0000"/>
          <w:sz w:val="22"/>
          <w:szCs w:val="22"/>
        </w:rPr>
      </w:pPr>
      <w:bookmarkStart w:colFirst="0" w:colLast="0" w:name="_heading=h.2320fw2kf7fw" w:id="0"/>
      <w:bookmarkEnd w:id="0"/>
      <w:r w:rsidDel="00000000" w:rsidR="00000000" w:rsidRPr="00000000">
        <w:rPr>
          <w:color w:val="000000"/>
          <w:sz w:val="22"/>
          <w:szCs w:val="22"/>
          <w:rtl w:val="0"/>
        </w:rPr>
        <w:t xml:space="preserve">Consultări publice realizate: 11 octombrie 2024 - DS Buzău, 21 mai 2025 – Buzău</w:t>
      </w:r>
      <w:r w:rsidDel="00000000" w:rsidR="00000000" w:rsidRPr="00000000">
        <w:rPr>
          <w:color w:val="ff0000"/>
          <w:sz w:val="22"/>
          <w:szCs w:val="22"/>
          <w:rtl w:val="0"/>
        </w:rPr>
        <w:t xml:space="preserve">.</w:t>
      </w:r>
    </w:p>
    <w:p w:rsidR="00000000" w:rsidDel="00000000" w:rsidP="00000000" w:rsidRDefault="00000000" w:rsidRPr="00000000" w14:paraId="000000EA">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Pe lângă aceste consultări, a fost organizată și o consultare online la nivel județean, desfășurate în data de 19 decembrie 2025 în jud. Buzău, cu participarea reprezentanților unităților administrativ-teritoriale, ai prefecturilor și/sau ai altor instituții relevante, după caz.</w:t>
      </w:r>
    </w:p>
    <w:p w:rsidR="00000000" w:rsidDel="00000000" w:rsidP="00000000" w:rsidRDefault="00000000" w:rsidRPr="00000000" w14:paraId="000000EB">
      <w:pPr>
        <w:rPr/>
      </w:pPr>
      <w:r w:rsidDel="00000000" w:rsidR="00000000" w:rsidRPr="00000000">
        <w:rPr>
          <w:rtl w:val="0"/>
        </w:rPr>
      </w:r>
    </w:p>
    <w:p w:rsidR="00000000" w:rsidDel="00000000" w:rsidP="00000000" w:rsidRDefault="00000000" w:rsidRPr="00000000" w14:paraId="000000EC">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ED">
      <w:pPr>
        <w:spacing w:line="256" w:lineRule="auto"/>
        <w:rPr>
          <w:sz w:val="22"/>
          <w:szCs w:val="22"/>
        </w:rPr>
      </w:pPr>
      <w:bookmarkStart w:colFirst="0" w:colLast="0" w:name="_heading=h.bg390uzf9agn" w:id="1"/>
      <w:bookmarkEnd w:id="1"/>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EE">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ptos"/>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0U/mAISYbOhvCgHdJEAFAkgYKA==">CgMxLjAyDmguMjMyMGZ3MmtmN2Z3Mg5oLmJnMzkwdXpmOWFnbjgAciExWkxxSGhFSWZESVhxS2lReC00cm9tdjBxR0llU1lyam0=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